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jpeg" ContentType="image/jpeg"/>
  <Override PartName="/word/header4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"/>
          <w:szCs w:val="2"/>
        </w:rPr>
      </w:pPr>
      <w:r>
        <w:rPr/>
        <w:drawing>
          <wp:inline distT="0" distB="0" distL="0" distR="0">
            <wp:extent cx="1739265" cy="1353185"/>
            <wp:effectExtent l="0" t="0" r="0" b="0"/>
            <wp:docPr id="1" name="Picut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1" w:before="0" w:after="399"/>
        <w:rPr/>
      </w:pPr>
      <w:r>
        <w:rPr/>
      </w:r>
    </w:p>
    <w:p>
      <w:pPr>
        <w:pStyle w:val="11"/>
        <w:shd w:val="clear" w:color="auto" w:fill="auto"/>
        <w:spacing w:before="0" w:after="320"/>
        <w:ind w:hanging="0"/>
        <w:jc w:val="center"/>
        <w:rPr/>
      </w:pPr>
      <w:r>
        <w:rPr>
          <w:b/>
          <w:bCs/>
        </w:rPr>
        <w:t>МИНИСТЕРСТВО РОССИЙСКОЙ ФЕДЕРАЦИИ</w:t>
        <w:br/>
        <w:t>ПО ДЕЛАМ ГРАЖДАНСКОЙ ОБОРОНЫ,</w:t>
        <w:br/>
        <w:t>ЧРЕЗВЫЧАЙНЫМ СИТУАЦИЯМ И ЛИКВИДАЦИИ</w:t>
        <w:br/>
        <w:t>ПОСЛЕДСТВИЙ СТИХИЙНЫХ БЕДСТВИЙ</w:t>
      </w:r>
    </w:p>
    <w:p>
      <w:pPr>
        <w:pStyle w:val="11"/>
        <w:shd w:val="clear" w:color="auto" w:fill="auto"/>
        <w:spacing w:before="0" w:after="320"/>
        <w:ind w:hanging="0"/>
        <w:jc w:val="center"/>
        <w:rPr/>
      </w:pPr>
      <w:r>
        <w:rPr>
          <w:b/>
          <w:bCs/>
        </w:rPr>
        <w:t>ГЛАВНОЕ УПРАВЛЕНИЕ МЧС РОССИИ</w:t>
        <w:br/>
        <w:t>ПО ПРИМОРСКОМУ КРАЮ</w:t>
      </w:r>
    </w:p>
    <w:p>
      <w:pPr>
        <w:pStyle w:val="11"/>
        <w:shd w:val="clear" w:color="auto" w:fill="auto"/>
        <w:spacing w:before="0" w:after="400"/>
        <w:ind w:hanging="0"/>
        <w:jc w:val="center"/>
        <w:rPr/>
      </w:pPr>
      <w:r>
        <w:rPr>
          <w:b/>
          <w:bCs/>
        </w:rPr>
        <w:t>УПРАВЛЕНИЕ ПО НАДЗОРНОЙ ДЕЯТЕЛЬНОСТИ</w:t>
        <w:br/>
        <w:t>И ПРОФИЛАКТИЧЕСКОЙ РАБОТЫ</w:t>
      </w:r>
    </w:p>
    <w:p>
      <w:pPr>
        <w:pStyle w:val="Normal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lineRule="exact" w:line="1" w:before="0" w:after="719"/>
        <w:rPr/>
      </w:pPr>
      <w:r>
        <w:rPr/>
      </w:r>
    </w:p>
    <w:p>
      <w:pPr>
        <w:pStyle w:val="11"/>
        <w:shd w:val="clear" w:color="auto" w:fill="auto"/>
        <w:spacing w:lineRule="auto" w:line="240" w:before="0" w:after="320"/>
        <w:ind w:hanging="0"/>
        <w:jc w:val="center"/>
        <w:rPr/>
      </w:pPr>
      <w:r>
        <w:rPr/>
        <w:t>МЕТОДИЧЕСКИЕ РЕКОМЕНДАЦИИ</w:t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>
          <w:b/>
          <w:bCs/>
        </w:rPr>
        <w:t>«Печное отопление. Требования к эксплуатации»</w:t>
        <w:b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</w:r>
    </w:p>
    <w:p>
      <w:pPr>
        <w:pStyle w:val="11"/>
        <w:shd w:val="clear" w:color="auto" w:fill="auto"/>
        <w:spacing w:lineRule="auto" w:line="240" w:before="0" w:after="140"/>
        <w:ind w:hanging="0"/>
        <w:jc w:val="center"/>
        <w:rPr/>
      </w:pPr>
      <w:r>
        <w:rPr/>
        <w:t>г. Владивосток</w:t>
        <w:br/>
        <w:t>2024 г.</w:t>
      </w:r>
    </w:p>
    <w:p>
      <w:pPr>
        <w:pStyle w:val="Normal"/>
        <w:jc w:val="center"/>
        <w:rPr>
          <w:lang w:bidi="ar-SA"/>
        </w:rPr>
      </w:pPr>
      <w:r>
        <w:rPr>
          <w:lang w:bidi="ar-SA"/>
        </w:rPr>
      </w:r>
    </w:p>
    <w:p>
      <w:pPr>
        <w:pStyle w:val="Normal"/>
        <w:jc w:val="center"/>
        <w:rPr>
          <w:lang w:bidi="ar-SA"/>
        </w:rPr>
      </w:pPr>
      <w:r>
        <w:rPr>
          <w:lang w:bidi="ar-SA"/>
        </w:rPr>
      </w:r>
    </w:p>
    <w:p>
      <w:pPr>
        <w:pStyle w:val="Normal"/>
        <w:jc w:val="center"/>
        <w:rPr>
          <w:lang w:bidi="ar-SA"/>
        </w:rPr>
      </w:pPr>
      <w:r>
        <w:rPr>
          <w:lang w:bidi="ar-SA"/>
        </w:rPr>
      </w:r>
    </w:p>
    <w:p>
      <w:pPr>
        <w:pStyle w:val="Normal"/>
        <w:jc w:val="center"/>
        <w:rPr>
          <w:lang w:bidi="ar-SA"/>
        </w:rPr>
      </w:pPr>
      <w:r>
        <w:rPr>
          <w:lang w:bidi="ar-SA"/>
        </w:rPr>
      </w:r>
    </w:p>
    <w:p>
      <w:pPr>
        <w:pStyle w:val="Normal"/>
        <w:jc w:val="center"/>
        <w:rPr>
          <w:lang w:bidi="ar-SA"/>
        </w:rPr>
      </w:pPr>
      <w:r>
        <w:rPr>
          <w:lang w:bidi="ar-SA"/>
        </w:rPr>
      </w:r>
    </w:p>
    <w:p>
      <w:pPr>
        <w:pStyle w:val="Normal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1"/>
        <w:shd w:val="clear" w:color="auto" w:fill="auto"/>
        <w:spacing w:before="0" w:after="240"/>
        <w:ind w:hanging="0"/>
        <w:jc w:val="center"/>
        <w:rPr/>
      </w:pPr>
      <w:r>
        <w:rPr>
          <w:b/>
          <w:bCs/>
        </w:rPr>
        <w:t>СОДЕРЖАНИЕ:</w:t>
      </w:r>
    </w:p>
    <w:p>
      <w:pPr>
        <w:pStyle w:val="11"/>
        <w:shd w:val="clear" w:color="auto" w:fill="auto"/>
        <w:tabs>
          <w:tab w:val="clear" w:pos="708"/>
          <w:tab w:val="right" w:pos="9515" w:leader="none"/>
        </w:tabs>
        <w:ind w:firstLine="160"/>
        <w:rPr/>
      </w:pPr>
      <w:r>
        <w:rPr>
          <w:b/>
          <w:bCs/>
        </w:rPr>
        <w:t xml:space="preserve">ВВЕДЕНИЕ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Style27"/>
            <w:numPr>
              <w:ilvl w:val="0"/>
              <w:numId w:val="1"/>
            </w:numPr>
            <w:shd w:fill="FFFFFF" w:val="clear"/>
            <w:tabs>
              <w:tab w:val="clear" w:pos="708"/>
              <w:tab w:val="left" w:pos="566" w:leader="none"/>
              <w:tab w:val="right" w:pos="9508" w:leader="none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"1-5" \h</w:instrText>
          </w:r>
          <w:r>
            <w:rPr>
              <w:webHidden/>
              <w:vanish w:val="false"/>
            </w:rPr>
            <w:fldChar w:fldCharType="separate"/>
          </w:r>
          <w:hyperlink w:anchor="bookmark2" w:tgtFrame="Current Document">
            <w:r>
              <w:rPr>
                <w:webHidden/>
                <w:vanish w:val="false"/>
              </w:rPr>
              <w:t>ОБЩИЕ ПОЛОЖЕНИЯ</w:t>
              <w:tab/>
            </w:r>
            <w:r>
              <w:rPr>
                <w:b w:val="false"/>
                <w:bCs w:val="false"/>
              </w:rPr>
              <w:t>4</w:t>
            </w:r>
          </w:hyperlink>
        </w:p>
        <w:p>
          <w:pPr>
            <w:pStyle w:val="Style27"/>
            <w:numPr>
              <w:ilvl w:val="0"/>
              <w:numId w:val="1"/>
            </w:numPr>
            <w:shd w:val="clear" w:color="auto" w:fill="auto"/>
            <w:tabs>
              <w:tab w:val="clear" w:pos="708"/>
              <w:tab w:val="left" w:pos="566" w:leader="none"/>
              <w:tab w:val="right" w:pos="9508" w:leader="none"/>
            </w:tabs>
            <w:rPr/>
          </w:pPr>
          <w:hyperlink w:anchor="bookmark4" w:tgtFrame="Current Document">
            <w:r>
              <w:rPr>
                <w:webHidden/>
                <w:vanish w:val="false"/>
              </w:rPr>
              <w:t>ПОЖАРНАЯ ОПАСНОСТЬ ПЕЧНОГО ОТОПЛЕНИЯ</w:t>
              <w:tab/>
            </w:r>
            <w:r>
              <w:rPr>
                <w:b w:val="false"/>
                <w:bCs w:val="false"/>
              </w:rPr>
              <w:t>5</w:t>
            </w:r>
          </w:hyperlink>
        </w:p>
        <w:p>
          <w:pPr>
            <w:pStyle w:val="Style27"/>
            <w:numPr>
              <w:ilvl w:val="0"/>
              <w:numId w:val="1"/>
            </w:numPr>
            <w:shd w:val="clear" w:color="auto" w:fill="auto"/>
            <w:tabs>
              <w:tab w:val="clear" w:pos="708"/>
              <w:tab w:val="left" w:pos="547" w:leader="none"/>
              <w:tab w:val="right" w:pos="9508" w:leader="none"/>
            </w:tabs>
            <w:rPr/>
          </w:pPr>
          <w:hyperlink w:anchor="bookmark6" w:tgtFrame="Current Document">
            <w:r>
              <w:rPr>
                <w:webHidden/>
                <w:vanish w:val="false"/>
              </w:rPr>
              <w:t>ТРЕБОВАНИЯ ПОЖАРНОЙ БЕЗОПАСНОСТИ К</w:t>
              <w:tab/>
            </w:r>
            <w:r>
              <w:rPr>
                <w:b w:val="false"/>
                <w:bCs w:val="false"/>
              </w:rPr>
              <w:t>6</w:t>
            </w:r>
          </w:hyperlink>
        </w:p>
        <w:p>
          <w:pPr>
            <w:pStyle w:val="Style27"/>
            <w:shd w:val="clear" w:color="auto" w:fill="auto"/>
            <w:ind w:firstLine="460"/>
            <w:rPr>
              <w:color w:val="auto"/>
            </w:rPr>
          </w:pPr>
          <w:r>
            <w:rPr/>
            <w:t>ПЕЧНОМУ ОТОПЛЕНИЮ</w:t>
          </w:r>
        </w:p>
        <w:p>
          <w:pPr>
            <w:pStyle w:val="Style27"/>
            <w:numPr>
              <w:ilvl w:val="0"/>
              <w:numId w:val="1"/>
            </w:numPr>
            <w:shd w:val="clear" w:color="auto" w:fill="auto"/>
            <w:tabs>
              <w:tab w:val="clear" w:pos="708"/>
              <w:tab w:val="left" w:pos="552" w:leader="none"/>
              <w:tab w:val="right" w:pos="9508" w:leader="none"/>
            </w:tabs>
            <w:rPr>
              <w:color w:val="auto"/>
            </w:rPr>
          </w:pPr>
          <w:r>
            <w:rPr/>
            <w:t>ХАРАКТЕРИСТИКА И ПОЖАРНАЯ ОПАСНОСТЬ</w:t>
            <w:tab/>
          </w:r>
          <w:r>
            <w:rPr>
              <w:b w:val="false"/>
              <w:bCs w:val="false"/>
            </w:rPr>
            <w:t>10</w:t>
          </w:r>
        </w:p>
        <w:p>
          <w:pPr>
            <w:pStyle w:val="Style27"/>
            <w:shd w:val="clear" w:color="auto" w:fill="auto"/>
            <w:ind w:firstLine="460"/>
            <w:rPr>
              <w:color w:val="auto"/>
            </w:rPr>
          </w:pPr>
          <w:r>
            <w:rPr/>
            <w:t>ОТОПИТЕЛЬНЫХ ГАЗОВЫХ ПЕЧЕЙ И ПРИБОРОВ</w:t>
          </w:r>
        </w:p>
        <w:p>
          <w:pPr>
            <w:pStyle w:val="Style27"/>
            <w:numPr>
              <w:ilvl w:val="0"/>
              <w:numId w:val="1"/>
            </w:numPr>
            <w:shd w:val="clear" w:color="auto" w:fill="auto"/>
            <w:tabs>
              <w:tab w:val="clear" w:pos="708"/>
              <w:tab w:val="left" w:pos="557" w:leader="none"/>
              <w:tab w:val="left" w:pos="9155" w:leader="none"/>
            </w:tabs>
            <w:rPr>
              <w:color w:val="auto"/>
            </w:rPr>
          </w:pPr>
          <w:r>
            <w:rPr/>
            <w:t>АГИТАЦИОННЫЙ МАТЕРИАЛ ДЛЯ РАЗМЕЩЕНИЯ</w:t>
            <w:tab/>
          </w:r>
          <w:r>
            <w:rPr>
              <w:b w:val="false"/>
              <w:bCs w:val="false"/>
            </w:rPr>
            <w:t>12</w:t>
          </w:r>
        </w:p>
        <w:p>
          <w:pPr>
            <w:pStyle w:val="Style27"/>
            <w:shd w:val="clear" w:color="auto" w:fill="auto"/>
            <w:ind w:firstLine="880"/>
            <w:rPr>
              <w:color w:val="auto"/>
            </w:rPr>
          </w:pPr>
          <w:r>
            <w:rPr/>
            <w:t>В МЕСТАХ С МАССОВЫМ ПРЕБЫВАНИЕМ ЛЮДЕЙ</w:t>
          </w:r>
        </w:p>
        <w:p>
          <w:pPr>
            <w:pStyle w:val="Style27"/>
            <w:numPr>
              <w:ilvl w:val="0"/>
              <w:numId w:val="1"/>
            </w:numPr>
            <w:shd w:val="clear" w:color="auto" w:fill="auto"/>
            <w:tabs>
              <w:tab w:val="clear" w:pos="708"/>
              <w:tab w:val="left" w:pos="557" w:leader="none"/>
              <w:tab w:val="left" w:pos="9155" w:leader="none"/>
            </w:tabs>
            <w:rPr/>
          </w:pPr>
          <w:r>
            <w:rPr/>
            <w:t>ИСПОЛЬЗУЕМАЯ ЛИТЕРАТУРА</w:t>
            <w:tab/>
          </w:r>
          <w:r>
            <w:rPr>
              <w:b w:val="false"/>
              <w:bCs w:val="false"/>
            </w:rPr>
            <w:t>14</w:t>
          </w:r>
          <w:r>
            <w:rPr>
              <w:b w:val="false"/>
              <w:bCs w:val="false"/>
            </w:rPr>
            <w:fldChar w:fldCharType="end"/>
          </w:r>
        </w:p>
        <w:p>
          <w:pPr>
            <w:sectPr>
              <w:headerReference w:type="default" r:id="rId3"/>
              <w:headerReference w:type="first" r:id="rId4"/>
              <w:footerReference w:type="first" r:id="rId5"/>
              <w:type w:val="nextPage"/>
              <w:pgSz w:w="11906" w:h="16838"/>
              <w:pgMar w:left="942" w:right="648" w:header="0" w:top="1294" w:footer="0" w:bottom="0" w:gutter="0"/>
              <w:pgNumType w:start="1" w:fmt="decimal"/>
              <w:formProt w:val="false"/>
              <w:titlePg/>
              <w:textDirection w:val="lrTb"/>
              <w:docGrid w:type="default" w:linePitch="360" w:charSpace="0"/>
            </w:sectPr>
          </w:pPr>
        </w:p>
      </w:sdtContent>
    </w:sdt>
    <w:p>
      <w:pPr>
        <w:pStyle w:val="32"/>
        <w:keepNext w:val="true"/>
        <w:keepLines/>
        <w:shd w:fill="FFFFFF" w:val="clear"/>
        <w:spacing w:lineRule="auto" w:line="240" w:before="0" w:after="300"/>
        <w:rPr/>
      </w:pPr>
      <w:bookmarkStart w:id="0" w:name="bookmark0"/>
      <w:bookmarkStart w:id="1" w:name="bookmark1"/>
      <w:r>
        <w:rPr/>
        <w:t>ВВЕДЕНИЕ</w:t>
      </w:r>
      <w:bookmarkEnd w:id="0"/>
      <w:bookmarkEnd w:id="1"/>
    </w:p>
    <w:p>
      <w:pPr>
        <w:pStyle w:val="11"/>
        <w:shd w:val="clear" w:color="auto" w:fill="auto"/>
        <w:ind w:firstLine="740"/>
        <w:jc w:val="both"/>
        <w:rPr/>
      </w:pPr>
      <w:r>
        <w:rPr>
          <w:rFonts w:eastAsia="Times New Roman" w:cs="Times New Roman"/>
          <w:color w:val="auto"/>
          <w:sz w:val="26"/>
          <w:szCs w:val="26"/>
        </w:rPr>
        <w:t>О</w:t>
      </w:r>
      <w:r>
        <w:rPr>
          <w:color w:val="auto"/>
        </w:rPr>
        <w:t xml:space="preserve">сновными местами возникновения пожаров по причине неисправности печного оборудования по-прежнему остаются </w:t>
      </w:r>
      <w:r>
        <w:rPr>
          <w:rFonts w:eastAsia="Times New Roman" w:cs="Times New Roman"/>
          <w:color w:val="auto"/>
          <w:sz w:val="26"/>
          <w:szCs w:val="26"/>
        </w:rPr>
        <w:t>частные</w:t>
      </w:r>
      <w:r>
        <w:rPr>
          <w:color w:val="auto"/>
        </w:rPr>
        <w:t xml:space="preserve"> домовладения и надворные постройки граждан. 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 xml:space="preserve"> </w:t>
      </w:r>
      <w:r>
        <w:rPr/>
        <w:t>Зачастую граждане, проявляя беспечность, получают отравление угарным газом при нарушении элементарных правил безопасности при эксплуатации печного отопления.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Для того чтобы опасность возникновения пожара по вине человека была минимальной, требуется постоянная, целенаправленная работа всех заинтересованных и компетентных специалистов.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В настоящее время для отопления жилья применяют различное топливо: твёрдое (дрова, уголь), жидкое (дизельное) и газ. Большинство малоэтажных жилых домов имеют печное отопление. По статистическим данным за последние 5 лет примерно каждый пятый пожар в жилом доме и надворных постройках происходит от неисправности печей и дымоходов, их неправильного устройства или эксплуатации.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Нарушение правил устройства и эксплуатации печного отопления является одной из основных причин пожаров. Жертвами по указанной причине могут стать как новички, так и люди с опытом использования печного отопления.</w:t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1082" w:right="508" w:header="0" w:top="1114" w:footer="0" w:bottom="1114" w:gutter="0"/>
          <w:pgNumType w:fmt="decimal"/>
          <w:formProt w:val="false"/>
          <w:textDirection w:val="lrTb"/>
          <w:docGrid w:type="default" w:linePitch="360" w:charSpace="0"/>
        </w:sectPr>
        <w:pStyle w:val="11"/>
        <w:shd w:val="clear" w:color="auto" w:fill="auto"/>
        <w:ind w:firstLine="740"/>
        <w:jc w:val="both"/>
        <w:rPr/>
      </w:pPr>
      <w:r>
        <w:rPr/>
        <w:t>Необходимость подготовки данных методических рекомендаций обусловлена требованиями к качественному повышению уровня обеспечения безопасности населения и эффективности мероприятий по минимизации риска пожаров и чрезвычайных ситуаций, угроз жизни и здоровью людей.</w:t>
      </w:r>
    </w:p>
    <w:p>
      <w:pPr>
        <w:pStyle w:val="32"/>
        <w:keepNext w:val="true"/>
        <w:keepLines/>
        <w:numPr>
          <w:ilvl w:val="0"/>
          <w:numId w:val="2"/>
        </w:numPr>
        <w:shd w:val="clear" w:color="auto" w:fill="auto"/>
        <w:tabs>
          <w:tab w:val="clear" w:pos="708"/>
          <w:tab w:val="left" w:pos="411" w:leader="none"/>
        </w:tabs>
        <w:spacing w:before="0" w:after="280"/>
        <w:rPr/>
      </w:pPr>
      <w:bookmarkStart w:id="2" w:name="bookmark2"/>
      <w:bookmarkStart w:id="3" w:name="bookmark3"/>
      <w:r>
        <w:rPr/>
        <w:t>ОБЩИЕ ПОЛОЖЕНИЯ.</w:t>
      </w:r>
      <w:bookmarkEnd w:id="2"/>
      <w:bookmarkEnd w:id="3"/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Печь </w:t>
      </w:r>
      <w:r>
        <w:rPr/>
        <w:t>- устройство для сжигания твёрдого топлива в целях отопления помещения и приготовления пищи, изготовленное на месте установки из теплостойких материалов (кирпич, жаропрочный бетон и т. д.) или на заводах (из чугуна или стали).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Камин </w:t>
      </w:r>
      <w:r>
        <w:rPr/>
        <w:t>- разновидность печного устройства, отличающегося большим (по сравнению с печами) размером топочного отверстия (для открытых топок), отсутствием дымооборотов и наличием дымовой камеры. Отопление камином основано на тепловом излучении горящего твёрдого топлива и от разогретых стен топочного пространства, а также на конвективной теплоотдаче поверхностей камина в обогреваемое помещение. Существуют два типа каминов: сооружаемые на месте установки и сборные. Сборные камины собираются из компонентов заводского изготовления.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Дымовой канал </w:t>
      </w:r>
      <w:r>
        <w:rPr/>
        <w:t>- канал для отвода дыма от печей или каминов и создания тяги.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Отступка </w:t>
      </w:r>
      <w:r>
        <w:rPr/>
        <w:t>- расстояние от наружной поверхности печи (камина) или дымового канала (трубы) до защищённой или не защищённой от возгорания стены или перегородки из горючих материалов.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Разделка </w:t>
      </w:r>
      <w:r>
        <w:rPr/>
        <w:t>- утолщение стенки печи (камина) или дымового канала (трубы) в месте соприкосновения не с конструкцией здания, выполненной из горючего материала.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Топливник (топка) </w:t>
      </w:r>
      <w:r>
        <w:rPr/>
        <w:t>- часть печи или камина, пространство для сжигания топлива.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Предтопочный лист - </w:t>
      </w:r>
      <w:r>
        <w:rPr/>
        <w:t>фрагмент металла, который изготавливается на станке путём штампа с формированием специального профиля. Предназначен для защиты от попадания искры или раскалённого угля на пол при открывании дверцы топки.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Перекрыша печи - </w:t>
      </w:r>
      <w:r>
        <w:rPr/>
        <w:t>это верхнее перекрытие отопительной печи, устраиваемое в 3 ряда кирпича плашмя в печи умеренного прогрева или из иных строительных материалов в печи повышенного прогрева.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Насадной дымовой канал </w:t>
      </w:r>
      <w:r>
        <w:rPr/>
        <w:t>- дымовой канал, опирающийся на потолочное перекрытие.</w:t>
      </w:r>
    </w:p>
    <w:p>
      <w:p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>Коренной дымовой кан</w:t>
      </w:r>
      <w:r>
        <w:rPr/>
        <w:t>ал - дымовой канал, опирающийся на фундамент здания или на пол рядом с печью (камином).</w:t>
      </w:r>
    </w:p>
    <w:p>
      <w:pPr>
        <w:sectPr>
          <w:headerReference w:type="default" r:id="rId8"/>
          <w:footerReference w:type="default" r:id="rId9"/>
          <w:type w:val="nextPage"/>
          <w:pgSz w:w="11906" w:h="16838"/>
          <w:pgMar w:left="1082" w:right="512" w:header="0" w:top="1407" w:footer="0" w:bottom="1407" w:gutter="0"/>
          <w:pgNumType w:fmt="decimal"/>
          <w:formProt w:val="false"/>
          <w:textDirection w:val="lrTb"/>
          <w:docGrid w:type="default" w:linePitch="360" w:charSpace="0"/>
        </w:sectPr>
        <w:pStyle w:val="11"/>
        <w:shd w:val="clear" w:color="auto" w:fill="auto"/>
        <w:ind w:firstLine="720"/>
        <w:jc w:val="both"/>
        <w:rPr/>
      </w:pPr>
      <w:r>
        <w:rPr>
          <w:b/>
          <w:bCs/>
        </w:rPr>
        <w:t xml:space="preserve">Стенный дымовой канал </w:t>
      </w:r>
      <w:r>
        <w:rPr/>
        <w:t>- дымовой канал, проходящий внутри стены здания.</w:t>
      </w:r>
    </w:p>
    <w:p>
      <w:pPr>
        <w:pStyle w:val="32"/>
        <w:keepNext w:val="true"/>
        <w:keepLines/>
        <w:numPr>
          <w:ilvl w:val="0"/>
          <w:numId w:val="2"/>
        </w:numPr>
        <w:shd w:val="clear" w:color="auto" w:fill="auto"/>
        <w:tabs>
          <w:tab w:val="clear" w:pos="708"/>
          <w:tab w:val="left" w:pos="351" w:leader="none"/>
        </w:tabs>
        <w:spacing w:lineRule="auto" w:line="240" w:before="0" w:after="420"/>
        <w:rPr/>
      </w:pPr>
      <w:bookmarkStart w:id="4" w:name="bookmark4"/>
      <w:bookmarkStart w:id="5" w:name="bookmark5"/>
      <w:r>
        <w:rPr/>
        <w:t>ПОЖАРНАЯ ОПАСНОСТЬ ПЕЧНОГО ОТОПЛЕНИЯ</w:t>
      </w:r>
      <w:bookmarkEnd w:id="4"/>
      <w:bookmarkEnd w:id="5"/>
    </w:p>
    <w:p>
      <w:pPr>
        <w:pStyle w:val="11"/>
        <w:shd w:val="clear" w:color="auto" w:fill="auto"/>
        <w:ind w:firstLine="720"/>
        <w:jc w:val="both"/>
        <w:rPr/>
      </w:pPr>
      <w:r>
        <w:rPr/>
        <w:t>Пожарная опасность печного отопления заключается в высоких температурах на поверхностях элементов печей (стенок, патрубков, труб), которые могут быть причиной возгорания горючих материалов и сгораемых конструкций зданий. Температура на поверхности элементов нетеплоёмких печей зависит от вида сжигаемого топлива, режима топки печей и может превышать 600 °С.</w:t>
      </w:r>
    </w:p>
    <w:p>
      <w:pPr>
        <w:pStyle w:val="11"/>
        <w:shd w:val="clear" w:color="auto" w:fill="auto"/>
        <w:ind w:firstLine="720"/>
        <w:jc w:val="both"/>
        <w:rPr/>
      </w:pPr>
      <w:r>
        <w:rPr/>
        <w:t>Температура в топливнике теплоёмких печей может составлять более 1000 °С, а в дымовом канале в области междуэтажного перекрытия - 500°С. Степень нагрева боковых поверхностей и перекрытия печи, а также дымовых каналов зависит от толщины стенок, вида и количества сжигаемого топлива и продолжительности горения.</w:t>
      </w:r>
    </w:p>
    <w:p>
      <w:pPr>
        <w:pStyle w:val="11"/>
        <w:shd w:val="clear" w:color="auto" w:fill="auto"/>
        <w:ind w:firstLine="720"/>
        <w:jc w:val="both"/>
        <w:rPr/>
      </w:pPr>
      <w:r>
        <w:rPr/>
        <w:t>Нагретые до высоких температур элементы печей могут быть источником зажигания материалов, находящихся в помещении, и строительных сгораемых конструкций (стен, перегородок, перекрытий, кровли), если они примыкают к поверхностям печей или дымовых каналов.</w:t>
      </w:r>
    </w:p>
    <w:p>
      <w:pPr>
        <w:pStyle w:val="11"/>
        <w:shd w:val="clear" w:color="auto" w:fill="auto"/>
        <w:ind w:firstLine="720"/>
        <w:jc w:val="both"/>
        <w:rPr/>
      </w:pPr>
      <w:r>
        <w:rPr/>
        <w:t>Пожар может также возникнуть в результате воздействия пламени, топочных газов и искр на сгораемые материалы и конструкции через трещины и неплотности в кладке печей и дымовых каналов и топочные отверстия. Возможными причинами образования трещин являются неправильный выбор материала для кладки печей и каналов, неравномерность осадки здания и печей после окончания строительства, некачественная кладка.</w:t>
      </w:r>
    </w:p>
    <w:p>
      <w:pPr>
        <w:pStyle w:val="11"/>
        <w:shd w:val="clear" w:color="auto" w:fill="auto"/>
        <w:ind w:firstLine="720"/>
        <w:jc w:val="both"/>
        <w:rPr/>
      </w:pPr>
      <w:r>
        <w:rPr/>
        <w:t>Причинами пожаров от печного отопления могут быть отсутствие или недостаточный размер разделок, отступок, расстояний между нагретыми поверхностями элементов печи и сгораемыми (трудносгораемыми) конструкциями здания, эксплуатация неисправных печей, дымовых каналов, разделок.</w:t>
      </w:r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left="1082" w:right="508" w:header="0" w:top="1114" w:footer="0" w:bottom="1114" w:gutter="0"/>
          <w:pgNumType w:fmt="decimal"/>
          <w:formProt w:val="false"/>
          <w:textDirection w:val="lrTb"/>
          <w:docGrid w:type="default" w:linePitch="360" w:charSpace="0"/>
        </w:sectPr>
        <w:pStyle w:val="11"/>
        <w:shd w:val="clear" w:color="auto" w:fill="auto"/>
        <w:ind w:firstLine="720"/>
        <w:jc w:val="both"/>
        <w:rPr/>
      </w:pPr>
      <w:r>
        <w:rPr/>
        <w:t>Пожарную опасность представляют также отопительные печи, если они подобраны без учёта теплопотерь помещений, в которых они установлены. Теплоотдача устанавливаемой печи при нормальном режиме эксплуатации должна быть равна теплопотерям обслуживаемых помещений, если средняя теплоотдача печи будет меньше потерь теплоты, то в обслуживаемых помещениях температура воздуха будет ниже требуемой. В этом случае увеличение теплоотдачи печи может быть достигнуто нарушением режима топки печи, что приведёт к повышению температуры теплоотдающих поверхностей.</w:t>
      </w:r>
    </w:p>
    <w:p>
      <w:pPr>
        <w:pStyle w:val="32"/>
        <w:keepNext w:val="true"/>
        <w:keepLines/>
        <w:numPr>
          <w:ilvl w:val="0"/>
          <w:numId w:val="2"/>
        </w:numPr>
        <w:shd w:val="clear" w:color="auto" w:fill="auto"/>
        <w:tabs>
          <w:tab w:val="clear" w:pos="708"/>
          <w:tab w:val="left" w:pos="334" w:leader="none"/>
        </w:tabs>
        <w:spacing w:before="0" w:after="360"/>
        <w:rPr/>
      </w:pPr>
      <w:bookmarkStart w:id="6" w:name="bookmark6"/>
      <w:bookmarkStart w:id="7" w:name="bookmark7"/>
      <w:r>
        <w:rPr/>
        <w:t>ТРЕБОВАНИЯ ПОЖАРНОЙ БЕЗОПАСНОСТИ К ПЕЧНОМУ</w:t>
        <w:br/>
        <w:t>ОТОПЛЕНИЮ</w:t>
      </w:r>
      <w:bookmarkEnd w:id="6"/>
      <w:bookmarkEnd w:id="7"/>
    </w:p>
    <w:p>
      <w:pPr>
        <w:pStyle w:val="11"/>
        <w:shd w:val="clear" w:color="auto" w:fill="auto"/>
        <w:ind w:firstLine="740"/>
        <w:jc w:val="both"/>
        <w:rPr/>
      </w:pPr>
      <w:r>
        <w:rPr/>
        <w:t>В домах, имеющих печное отопление, обеспечить выполнение требований пожарной безопасности как при устройстве печей, так и при их эксплуатации.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Пожары чаще всего происходят из-за перекала печей, при появлении в кирпичной кладке трещин в результате применения для растопки горючих и легковоспламеняющихся жидкостей, выпадения из топки или зольника горящих углей.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Причиной появления трещин и перекала стенок дымовых труб может быть горение сажи, скапливающейся в дымоходах. Строительные нормы и правила требуют, чтобы устройство любой печи соответствовало противопожарным требованиям.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Правила эксплуатации печей весьма просты. Следует подчеркнуть, что наиболее часто пожары происходят, когда печи оставляют без наблюдения во время топки.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В сильные морозы печи нередко топят длительное время, в результате чего происходит перекал отдельных частей печей. Если эти части окажутся в контакте с деревянными конструкциями здания, то пожар неизбежен. Поэтому рекомендуется топить печь два-три раза в день не более 1,5 часов.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В жилых домах, банях перед началом отопительного сезона необходимо проверить исправность печей, дымоходов. Почистить дымоход от продуктов горения (сажи), заделать трещины глиняно-песчаным раствором, побелить дымовые трубы на чердаке. Во время отопительного сезона необходимо не реже одного раза в три месяца производить чистку дымовых каналов. Золу, выгребаемую из печей необходимо выноситься в безопасное место на улицу и проливать водой.</w:t>
      </w:r>
    </w:p>
    <w:p>
      <w:pPr>
        <w:pStyle w:val="11"/>
        <w:shd w:val="clear" w:color="auto" w:fill="auto"/>
        <w:spacing w:before="0" w:after="280"/>
        <w:ind w:firstLine="740"/>
        <w:jc w:val="both"/>
        <w:rPr/>
      </w:pPr>
      <w:r>
        <w:rPr/>
        <w:t>В таблице 1 предусмотрены мероприятия по проверке элементов отопительной печи.</w:t>
      </w:r>
    </w:p>
    <w:p>
      <w:pPr>
        <w:pStyle w:val="Style29"/>
        <w:shd w:val="clear" w:color="auto" w:fill="auto"/>
        <w:ind w:left="4075" w:hanging="0"/>
        <w:rPr/>
      </w:pPr>
      <w:r>
        <w:rPr/>
        <w:t>Таблица 1. Элементы печи, подлежащие проверке.</w:t>
      </w:r>
    </w:p>
    <w:tbl>
      <w:tblPr>
        <w:tblW w:w="10214" w:type="dxa"/>
        <w:jc w:val="center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val="0000" w:noVBand="0" w:noHBand="0" w:lastColumn="0" w:firstColumn="0" w:lastRow="0" w:firstRow="0"/>
      </w:tblPr>
      <w:tblGrid>
        <w:gridCol w:w="3686"/>
        <w:gridCol w:w="6527"/>
      </w:tblGrid>
      <w:tr>
        <w:trPr>
          <w:trHeight w:val="283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40"/>
              <w:rPr/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Элемент отопительной печи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Что нужно проверить</w:t>
            </w:r>
          </w:p>
        </w:tc>
      </w:tr>
      <w:tr>
        <w:trPr>
          <w:trHeight w:val="509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0"/>
              <w:shd w:val="clear" w:color="auto" w:fill="auto"/>
              <w:spacing w:lineRule="auto" w:line="240"/>
              <w:ind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Основание печи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Наличие и соответствие толщины теплоизоляции из негорючих материалов</w:t>
            </w:r>
          </w:p>
        </w:tc>
      </w:tr>
      <w:tr>
        <w:trPr>
          <w:trHeight w:val="518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Поверхности зольника и газооборотов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Минимальные расстояние от уровня пола из горючих (трудногорючих) материалов до дна зольника и газооборотов</w:t>
            </w:r>
          </w:p>
        </w:tc>
      </w:tr>
      <w:tr>
        <w:trPr>
          <w:trHeight w:val="1272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30"/>
              <w:shd w:val="clear" w:color="auto" w:fill="auto"/>
              <w:spacing w:lineRule="auto" w:line="240"/>
              <w:ind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Топочная дверца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Наличие металлического листа под топочной дверкой</w:t>
            </w:r>
          </w:p>
          <w:p>
            <w:pPr>
              <w:pStyle w:val="Style30"/>
              <w:shd w:val="clear" w:color="auto" w:fill="auto"/>
              <w:spacing w:lineRule="auto" w:line="264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Расстояние от топочной дверки до противоположной стены из горючих материалов</w:t>
            </w:r>
          </w:p>
          <w:p>
            <w:pPr>
              <w:pStyle w:val="Style30"/>
              <w:shd w:val="clear" w:color="auto" w:fill="auto"/>
              <w:spacing w:lineRule="auto" w:line="264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Наличие изоляции стен из горючих материалов или перегородок, примыкающих под углом к фронту печи</w:t>
            </w:r>
          </w:p>
        </w:tc>
      </w:tr>
      <w:tr>
        <w:trPr>
          <w:trHeight w:val="768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30"/>
              <w:shd w:val="clear" w:color="auto" w:fill="auto"/>
              <w:spacing w:lineRule="auto" w:line="240"/>
              <w:ind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Перекидной патрубок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Расстояние от верха патрубка до потолка из горючих материалов Расстояние от низа патрубка до пола из горючих (трудногорючих) материалов</w:t>
            </w:r>
          </w:p>
        </w:tc>
      </w:tr>
      <w:tr>
        <w:trPr>
          <w:trHeight w:val="1286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30"/>
              <w:shd w:val="clear" w:color="auto" w:fill="auto"/>
              <w:spacing w:lineRule="auto" w:line="240"/>
              <w:ind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Боковые поверхности печи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Наличие разделок из негорючих материалов в местах примыкания к боковым поверхностям печи конструкций из сгораемых (трудногорючих) материалов</w:t>
            </w:r>
          </w:p>
          <w:p>
            <w:pPr>
              <w:pStyle w:val="Style30"/>
              <w:shd w:val="clear" w:color="auto" w:fill="auto"/>
              <w:spacing w:lineRule="auto" w:line="264"/>
              <w:ind w:hanging="0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Расстояние (размер) разделки от внутренней поверхности печи до конструкций здания (стен, перегородок)</w:t>
            </w:r>
          </w:p>
        </w:tc>
      </w:tr>
    </w:tbl>
    <w:p>
      <w:pPr>
        <w:pStyle w:val="Normal"/>
        <w:spacing w:lineRule="exact" w:line="1"/>
        <w:rPr/>
      </w:pPr>
      <w:r>
        <w:rPr/>
      </w:r>
    </w:p>
    <w:tbl>
      <w:tblPr>
        <w:tblW w:w="10214" w:type="dxa"/>
        <w:jc w:val="center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val="0000" w:noVBand="0" w:noHBand="0" w:lastColumn="0" w:firstColumn="0" w:lastRow="0" w:firstRow="0"/>
      </w:tblPr>
      <w:tblGrid>
        <w:gridCol w:w="3686"/>
        <w:gridCol w:w="6527"/>
      </w:tblGrid>
      <w:tr>
        <w:trPr>
          <w:trHeight w:val="773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Ширина отступки между поверхностями печи и стенами (перегородками) и толщина теплоизоляции для защиты конструкций от возгорания</w:t>
            </w:r>
          </w:p>
        </w:tc>
      </w:tr>
      <w:tr>
        <w:trPr>
          <w:trHeight w:val="514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0"/>
              <w:shd w:val="clear" w:color="auto" w:fill="auto"/>
              <w:spacing w:lineRule="auto" w:line="240"/>
              <w:ind w:hanging="0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Верхняя плоскость печи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Расстояние от перекрытия печи до потолка из горючего (трудногорючего) материала</w:t>
            </w:r>
          </w:p>
        </w:tc>
      </w:tr>
      <w:tr>
        <w:trPr>
          <w:trHeight w:val="3307" w:hRule="exac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30"/>
              <w:shd w:val="clear" w:color="auto" w:fill="auto"/>
              <w:spacing w:lineRule="auto" w:line="240"/>
              <w:ind w:hanging="0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Дымовые каналы и трубы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30"/>
              <w:shd w:val="clear" w:color="auto" w:fill="auto"/>
              <w:spacing w:lineRule="auto" w:line="264"/>
              <w:ind w:hanging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Наличие разделок из негорючих материалов в местах примыкания стен, перегородок. Перекрытия. Балок к дымовым каналам (трубам)</w:t>
            </w:r>
          </w:p>
          <w:p>
            <w:pPr>
              <w:pStyle w:val="Style30"/>
              <w:shd w:val="clear" w:color="auto" w:fill="auto"/>
              <w:spacing w:lineRule="auto" w:line="264"/>
              <w:ind w:hanging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Расстояние от внутренней поверхности дымовых труб до конструкций здания из горючих (трудногорючих) материалов (размер разделки)</w:t>
            </w:r>
          </w:p>
          <w:p>
            <w:pPr>
              <w:pStyle w:val="Style30"/>
              <w:shd w:val="clear" w:color="auto" w:fill="auto"/>
              <w:spacing w:lineRule="auto" w:line="264"/>
              <w:ind w:hanging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Высота разделок в чердачном перекрытии</w:t>
            </w:r>
          </w:p>
          <w:p>
            <w:pPr>
              <w:pStyle w:val="Style30"/>
              <w:shd w:val="clear" w:color="auto" w:fill="auto"/>
              <w:spacing w:lineRule="auto" w:line="264"/>
              <w:ind w:hanging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Толщина вертикальной разделки при примыкании дымовой трубы к стенам или перегородкам в пределах помещения.</w:t>
            </w:r>
          </w:p>
          <w:p>
            <w:pPr>
              <w:pStyle w:val="Style30"/>
              <w:shd w:val="clear" w:color="auto" w:fill="auto"/>
              <w:spacing w:lineRule="auto" w:line="264"/>
              <w:ind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Ширина отступки между дымовой трубой и стенкой или перегородкой и способ защиты конструкций от возгорания Расстояние от поверхности дымовых труб и стен с дымовыми каналами до конструкций кровли</w:t>
            </w:r>
          </w:p>
        </w:tc>
      </w:tr>
    </w:tbl>
    <w:p>
      <w:pPr>
        <w:pStyle w:val="Normal"/>
        <w:spacing w:lineRule="exact" w:line="1" w:before="0" w:after="339"/>
        <w:rPr/>
      </w:pPr>
      <w:r>
        <w:rPr/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Нагретые поверхности печей и дымовых каналов, а также пламя через топочное отверстие излучают лучистую энергию, которая может вызвать загорание вблизи расположенных конструкций. Отсюда возникает основное общее правило: печи располагают так, чтобы между деревянными элементами здания и нагревающимися частями печи было достаточно места для устройства противопожарных разделок. Выполнение противопожарных мероприятий при сооружении печей гарантирует их безопасность при эксплуатации. В местах, где деревянные части зданий подходят к дымовым каналам в печах, трубах и стенках, необходимо оставлять отступки или разделки, заполненные воздухом или кирпичом.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Отступки у печей со стенами толщиной 70 мм и менее следует оставлять открытыми со всех сторон. Отступки у печей со стенками толщиной 120 мм можно выполнить из кирпича или других несгораемых материалов, оставляя сверху и снизу отверстия, закрываемые решётками. Отступки между печью или дымовой трубой и стеной или перегородкой из горючих материалов следует предусматривать на всю высоту печи или дымового канала.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Расстояние от перекрытия печи до потолка, защищённого от возгорания, должно быть не менее 250 мм для печей с периодической топкой и 700 мм для печей длительного горения. При наличии потолка, не защищённого от возгорания, расстояние должно быть соответственно не менее 350 и 1000 мм.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Разделки должны выполняться из негорючих материалов, размер разделок печей и дымовых каналов следует принимать 510 мм до конструкций, выполненных из горючих материалов, и 380 мм до конструкций из горючих материалов, имеющих теплоизоляцию, которая обеспечивает предел огнестойкости конструкции 0,75 ч и более.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У печи должны быть: исправная дверца, заслонки соответствующих размеров и предтопочный металлический лист, прибитый к деревянному полу, размером 50х70 см без дефектов и прогаров. Дрова, уголь и щепу для растопки нельзя складывать вблизи печи (то же касается мусора, старых газет и пр.).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Кладка печей и дымовых каналов должна выполняться из сплошного глиняного кирпича или индустриальных блоков из жаростойкого бетона. Для отвода продуктов сгорания каждая печь должна иметь обособленный дымовой канал. Допускается присоединение к одному каналу двух печей, если они находятся на одном этаже и в одной квартире жилого дома при условии устройства рассечки толщиной 0,12 м и высотой не менее 1 м от нижнего соединения труб.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Для присоединения печей к дымовым трубам допускается предусматривать дымоотводы длиной не более 0,4 м при условии:</w:t>
      </w:r>
    </w:p>
    <w:p>
      <w:pPr>
        <w:pStyle w:val="11"/>
        <w:shd w:val="clear" w:color="auto" w:fill="auto"/>
        <w:tabs>
          <w:tab w:val="clear" w:pos="708"/>
          <w:tab w:val="left" w:pos="1044" w:leader="none"/>
        </w:tabs>
        <w:ind w:firstLine="740"/>
        <w:jc w:val="both"/>
        <w:rPr/>
      </w:pPr>
      <w:r>
        <w:rPr/>
        <w:t>а)</w:t>
        <w:tab/>
        <w:t>расстояние от верха дымоотвода до потолка из горючих материалов должно быть не менее 0,5 м при отсутствии защиты потолка от возгорания и не менее 0,4 м - при наличии защиты;</w:t>
      </w:r>
    </w:p>
    <w:p>
      <w:pPr>
        <w:pStyle w:val="11"/>
        <w:shd w:val="clear" w:color="auto" w:fill="auto"/>
        <w:tabs>
          <w:tab w:val="clear" w:pos="708"/>
          <w:tab w:val="left" w:pos="1053" w:leader="none"/>
        </w:tabs>
        <w:ind w:firstLine="740"/>
        <w:jc w:val="both"/>
        <w:rPr/>
      </w:pPr>
      <w:r>
        <w:rPr/>
        <w:t>б)</w:t>
        <w:tab/>
        <w:t>расстояние от низа дымоотвода до пола из горючих материалов должно быть не менее 0,14 м. Дымоотводы следует выполнять из негорючих материалов.</w:t>
      </w:r>
    </w:p>
    <w:p>
      <w:pPr>
        <w:pStyle w:val="11"/>
        <w:shd w:val="clear" w:color="auto" w:fill="auto"/>
        <w:ind w:firstLine="740"/>
        <w:jc w:val="both"/>
        <w:rPr/>
      </w:pPr>
      <w:r>
        <w:rPr/>
        <w:t>На Рисунке 1 схематично приведены требуемые расстояния.</w:t>
      </w:r>
    </w:p>
    <w:p>
      <w:pPr>
        <w:pStyle w:val="11"/>
        <w:shd w:val="clear" w:color="auto" w:fill="auto"/>
        <w:ind w:hanging="0"/>
        <w:jc w:val="right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55245</wp:posOffset>
            </wp:positionH>
            <wp:positionV relativeFrom="paragraph">
              <wp:posOffset>121920</wp:posOffset>
            </wp:positionV>
            <wp:extent cx="6508115" cy="4911090"/>
            <wp:effectExtent l="0" t="0" r="0" b="0"/>
            <wp:wrapSquare wrapText="largest"/>
            <wp:docPr id="4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"/>
        <w:rPr/>
      </w:pPr>
      <w:r>
        <w:rPr/>
      </w:r>
    </w:p>
    <w:p>
      <w:pPr>
        <w:pStyle w:val="11"/>
        <w:shd w:val="clear" w:color="auto" w:fill="auto"/>
        <w:spacing w:before="0" w:after="960"/>
        <w:ind w:firstLine="740"/>
        <w:jc w:val="both"/>
        <w:rPr/>
      </w:pPr>
      <w:r>
        <w:rPr/>
        <w:t xml:space="preserve">Кроме того, в разделе III Правил противопожарного режима в Российской Федерации, утверждённого постановлением Правительства Российской Федерации от 16 сентября 2020 г. № 1479 (далее - ППР в РФ) изложены основные требования пожарной безопасности при эксплуатации печного отопления. </w:t>
      </w:r>
    </w:p>
    <w:p>
      <w:pPr>
        <w:pStyle w:val="32"/>
        <w:keepNext w:val="true"/>
        <w:keepLines/>
        <w:numPr>
          <w:ilvl w:val="0"/>
          <w:numId w:val="2"/>
        </w:numPr>
        <w:shd w:val="clear" w:color="auto" w:fill="auto"/>
        <w:tabs>
          <w:tab w:val="clear" w:pos="708"/>
          <w:tab w:val="left" w:pos="381" w:leader="none"/>
        </w:tabs>
        <w:spacing w:lineRule="auto" w:line="307" w:before="0" w:after="380"/>
        <w:rPr/>
      </w:pPr>
      <w:bookmarkStart w:id="8" w:name="bookmark8"/>
      <w:bookmarkStart w:id="9" w:name="bookmark9"/>
      <w:r>
        <w:rPr/>
        <w:t>ХАРАКТЕРИСТИКА И ПОЖАРНАЯ ОПАСНОСТЬ</w:t>
        <w:br/>
        <w:t>ОТОПИТЕЛЬНЫХ ГАЗОВЫХ ПЕЧЕЙ И ПРИБОРОВ</w:t>
      </w:r>
      <w:bookmarkEnd w:id="8"/>
      <w:bookmarkEnd w:id="9"/>
    </w:p>
    <w:p>
      <w:pPr>
        <w:pStyle w:val="11"/>
        <w:shd w:val="clear" w:color="auto" w:fill="auto"/>
        <w:spacing w:before="0" w:after="280"/>
        <w:ind w:firstLine="720"/>
        <w:jc w:val="both"/>
        <w:rPr/>
      </w:pPr>
      <w:r>
        <w:rPr/>
        <w:t>Владельцы домовладений и квартиросъёмщики должны своевременно заключать договоры на техническое обслуживание газового оборудования и проверку дымоходов, вентиляционных каналов, кроме того, в зимнее время должны периодически проверять оголовки с целью недопущения их обмерзания и закупорки.</w:t>
      </w:r>
    </w:p>
    <w:p>
      <w:pPr>
        <w:pStyle w:val="11"/>
        <w:shd w:val="clear" w:color="auto" w:fill="auto"/>
        <w:spacing w:before="0" w:after="280"/>
        <w:ind w:firstLine="720"/>
        <w:jc w:val="both"/>
        <w:rPr/>
      </w:pPr>
      <w:r>
        <w:rPr/>
        <w:t>ЗАПРЕЩАЕТСЯ: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ind w:firstLine="720"/>
        <w:jc w:val="both"/>
        <w:rPr/>
      </w:pPr>
      <w:r>
        <w:rPr/>
        <w:t>Производить самовольную газификацию дома (квартиры), перестановку, замену и ремонт газовых приборов, баллонов и запорной арматуры.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ind w:firstLine="720"/>
        <w:jc w:val="both"/>
        <w:rPr/>
      </w:pPr>
      <w:r>
        <w:rPr/>
        <w:t>Осуществлять перепланировку помещения, где установлены газовые приборы, без согласования с соответствующими организациями.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ind w:firstLine="720"/>
        <w:jc w:val="both"/>
        <w:rPr/>
      </w:pPr>
      <w:r>
        <w:rPr/>
        <w:t>Вносить изменения в конструкцию газовых приборов. Изменять устройство дымовых и вентиляционных систем, заклеивать вентиляционные каналы, замуровывать или заклеивать «карманы» и люки, предназначенные для чистки дымоходов.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ind w:firstLine="720"/>
        <w:jc w:val="both"/>
        <w:rPr/>
      </w:pPr>
      <w:r>
        <w:rPr/>
        <w:t>Отключать автоматику безопасности и регулирования, пользоваться газом при неисправных газовых приборах, автоматику, арматуре и газовых баллонах, особенно при обнаружении утечки газа.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ind w:firstLine="720"/>
        <w:jc w:val="both"/>
        <w:rPr/>
      </w:pPr>
      <w:r>
        <w:rPr/>
        <w:t>Пользоваться газом при нарушении плотности кладки, штукатурки (трещины) газифицированных печей и дымоходов. Пользоваться отопительными печами с духовыми шкафами и открытыми конфорками для приготовления пищи. Самовольно устанавливать дополнительные шиберы в дымоходах и на дымоотводящих трубах от водонагревателей.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spacing w:lineRule="auto" w:line="240"/>
        <w:ind w:firstLine="720"/>
        <w:jc w:val="both"/>
        <w:rPr/>
      </w:pPr>
      <w:r>
        <w:rPr/>
        <w:t>Пользоваться газом после истечения срока действия акта о проверке и чистке дымовых и вентиляционных каналов.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spacing w:lineRule="auto" w:line="240"/>
        <w:ind w:firstLine="720"/>
        <w:jc w:val="both"/>
        <w:rPr/>
      </w:pPr>
      <w:r>
        <w:rPr/>
        <w:t>Пользоваться газовыми приборами при закрытых форточках (фрамугах), жалюзийных решётках, решётках вентиляционных каналов, при отсутствии тяги в дымоходах и вентиляционных каналах.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spacing w:lineRule="auto" w:line="240"/>
        <w:ind w:firstLine="720"/>
        <w:jc w:val="both"/>
        <w:rPr/>
      </w:pPr>
      <w:r>
        <w:rPr/>
        <w:t>Оставлять работающие газовые приборы без присмотра, кроме рассчитанных на непрерывную работу и имеющих для этого соответствующую автоматику.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091" w:leader="none"/>
        </w:tabs>
        <w:spacing w:lineRule="auto" w:line="240"/>
        <w:ind w:firstLine="720"/>
        <w:jc w:val="both"/>
        <w:rPr/>
      </w:pPr>
      <w:r>
        <w:rPr/>
        <w:t>Допускать к пользованию газовыми приборами детей и лиц, не контролирующих свои действия и не знающих правил пользования этими приборами.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242" w:leader="none"/>
        </w:tabs>
        <w:spacing w:lineRule="auto" w:line="240"/>
        <w:ind w:firstLine="720"/>
        <w:jc w:val="both"/>
        <w:rPr/>
      </w:pPr>
      <w:r>
        <w:rPr/>
        <w:t>Использовать газ и газовые приборы не по назначению. Пользоваться газовыми плитами для отопления помещений.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242" w:leader="none"/>
        </w:tabs>
        <w:ind w:firstLine="720"/>
        <w:jc w:val="both"/>
        <w:rPr/>
      </w:pPr>
      <w:r>
        <w:rPr/>
        <w:t>Пользоваться помещениями, где установлены газовые приборы, для сна и отдыха.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242" w:leader="none"/>
        </w:tabs>
        <w:ind w:firstLine="720"/>
        <w:jc w:val="both"/>
        <w:rPr/>
      </w:pPr>
      <w:r>
        <w:rPr/>
        <w:t>Применять открытый огонь для обнаружения утечек газа (используется мыльная эмульсия или специальные приборы).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242" w:leader="none"/>
        </w:tabs>
        <w:ind w:firstLine="720"/>
        <w:jc w:val="both"/>
        <w:rPr/>
      </w:pPr>
      <w:r>
        <w:rPr/>
        <w:t>Хранить в помещениях и подвалах порожние и заполненные сжиженными газами баллоны. Самовольно без специального инструктажа производить замену порожних баллонов на заполненные газом и подключать их.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242" w:leader="none"/>
        </w:tabs>
        <w:ind w:firstLine="720"/>
        <w:jc w:val="both"/>
        <w:rPr/>
      </w:pPr>
      <w:r>
        <w:rPr/>
        <w:t>Располагать баллоны против топочных дверок печей на расстоянии менее 2м от них.</w:t>
      </w:r>
    </w:p>
    <w:p>
      <w:pPr>
        <w:pStyle w:val="11"/>
        <w:shd w:val="clear" w:color="auto" w:fill="auto"/>
        <w:ind w:firstLine="720"/>
        <w:jc w:val="both"/>
        <w:rPr/>
      </w:pPr>
      <w:r>
        <w:rPr/>
        <w:t>По окончании пользования газом закрыть краны на газовых приборах и перед ними, а при размещении баллонов внутри кухонь дополнительно закрыть вентили у баллонов.</w:t>
      </w:r>
    </w:p>
    <w:p>
      <w:pPr>
        <w:pStyle w:val="11"/>
        <w:shd w:val="clear" w:color="auto" w:fill="auto"/>
        <w:ind w:firstLine="720"/>
        <w:jc w:val="both"/>
        <w:rPr/>
      </w:pPr>
      <w:r>
        <w:rPr/>
        <w:t>При внезапном прекращении подачи газа закрыть немедленно краны горелок газовых приборов и сообщить газовой службе по телефону 04 или 104.</w:t>
      </w:r>
    </w:p>
    <w:p>
      <w:pPr>
        <w:pStyle w:val="11"/>
        <w:shd w:val="clear" w:color="auto" w:fill="auto"/>
        <w:ind w:firstLine="720"/>
        <w:jc w:val="both"/>
        <w:rPr/>
      </w:pPr>
      <w:r>
        <w:rPr/>
        <w:t>При появлении в помещении квартиры запаха газа немедленно прекратить пользование газовыми приборами, перекрыть краны к приборам и на приборах, открыть окна или форточки для проветривания помещения, вызвать аварийную службу по телефону 04 или 104 (вне загазованного помещения). Не пользоваться открытым источником огня, не курить, не пользоваться выключателями электроосвещения и электроприборами, не пользоваться электрозвонками.</w:t>
      </w:r>
    </w:p>
    <w:p>
      <w:pPr>
        <w:pStyle w:val="11"/>
        <w:shd w:val="clear" w:color="auto" w:fill="auto"/>
        <w:ind w:firstLine="72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11"/>
        <w:shd w:val="clear" w:color="auto" w:fill="auto"/>
        <w:ind w:firstLine="720"/>
        <w:jc w:val="center"/>
        <w:rPr>
          <w:b/>
          <w:b/>
          <w:bCs/>
        </w:rPr>
      </w:pPr>
      <w:r>
        <w:rPr>
          <w:b/>
          <w:bCs/>
        </w:rPr>
        <w:t xml:space="preserve">5. </w:t>
      </w:r>
      <w:bookmarkStart w:id="10" w:name="bookmark12"/>
      <w:bookmarkStart w:id="11" w:name="bookmark13"/>
      <w:r>
        <w:rPr>
          <w:b/>
          <w:bCs/>
        </w:rPr>
        <w:t>АГИТАЦИОННЫЙ МАТЕРИАЛ ДЛЯ РАЗМЕЩЕНИЯ В МЕСТАХ С МАССОВЫМ ПРЕБЫВАНИЕМ ЛЮДЕЙ</w:t>
      </w:r>
      <w:bookmarkEnd w:id="10"/>
      <w:bookmarkEnd w:id="11"/>
    </w:p>
    <w:p>
      <w:pPr>
        <w:pStyle w:val="11"/>
        <w:shd w:val="clear" w:color="auto" w:fill="auto"/>
        <w:ind w:firstLine="720"/>
        <w:jc w:val="both"/>
        <w:rPr/>
      </w:pPr>
      <w:r>
        <w:rPr/>
        <w:t>Задача распространения агитационного материала - ещё раз напомнить гражданам о необходимости соблюдения мер пожарной безопасности в быту, на производстве, во время отдыха на природе и в местах с массовым пребыванием людей. В них отражены простые и действенные рекомендации по профилактике пожаров и действиям в случае возникновения пожара.</w:t>
      </w:r>
    </w:p>
    <w:p>
      <w:pPr>
        <w:sectPr>
          <w:headerReference w:type="default" r:id="rId14"/>
          <w:footerReference w:type="default" r:id="rId15"/>
          <w:type w:val="nextPage"/>
          <w:pgSz w:w="11906" w:h="16838"/>
          <w:pgMar w:left="1080" w:right="514" w:header="0" w:top="1094" w:footer="0" w:bottom="1207" w:gutter="0"/>
          <w:pgNumType w:fmt="decimal"/>
          <w:formProt w:val="false"/>
          <w:textDirection w:val="lrTb"/>
          <w:docGrid w:type="default" w:linePitch="360" w:charSpace="0"/>
        </w:sectPr>
        <w:pStyle w:val="11"/>
        <w:shd w:val="clear" w:color="auto" w:fill="auto"/>
        <w:spacing w:before="0" w:after="300"/>
        <w:ind w:firstLine="720"/>
        <w:jc w:val="both"/>
        <w:rPr/>
      </w:pPr>
      <w:r>
        <w:rPr/>
        <w:t xml:space="preserve">Агитационные стенды с плакатами и листовками целесообразно размещать не только внутри зданий жилого сектора, в том числе жилых домах, а также во дворах, на детских спортивных площадках, около жилых домов, чтобы жители имели возможность </w:t>
      </w: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-103505</wp:posOffset>
            </wp:positionH>
            <wp:positionV relativeFrom="paragraph">
              <wp:posOffset>877570</wp:posOffset>
            </wp:positionV>
            <wp:extent cx="6548120" cy="4582795"/>
            <wp:effectExtent l="0" t="0" r="0" b="0"/>
            <wp:wrapSquare wrapText="largest"/>
            <wp:docPr id="5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</w:t>
      </w:r>
      <w:r>
        <w:rPr/>
        <w:t>знакомиться с информацией в своё свободное время, не торопясь. Памятка 1.</w:t>
      </w:r>
    </w:p>
    <w:p>
      <w:pPr>
        <w:pStyle w:val="32"/>
        <w:shd w:val="clear" w:color="auto" w:fill="auto"/>
        <w:spacing w:lineRule="auto" w:line="307" w:before="0" w:after="240"/>
        <w:rPr/>
      </w:pPr>
      <w:bookmarkStart w:id="12" w:name="bookmark16"/>
      <w:bookmarkStart w:id="13" w:name="bookmark17"/>
      <w:r>
        <w:rPr/>
        <w:t>СПИСОК ЛИТЕРАТУРЫ</w:t>
      </w:r>
      <w:bookmarkEnd w:id="12"/>
      <w:bookmarkEnd w:id="13"/>
    </w:p>
    <w:p>
      <w:pPr>
        <w:pStyle w:val="11"/>
        <w:numPr>
          <w:ilvl w:val="0"/>
          <w:numId w:val="4"/>
        </w:numPr>
        <w:shd w:val="clear" w:color="auto" w:fill="auto"/>
        <w:tabs>
          <w:tab w:val="clear" w:pos="708"/>
          <w:tab w:val="left" w:pos="1126" w:leader="none"/>
        </w:tabs>
        <w:spacing w:lineRule="auto" w:line="307"/>
        <w:ind w:firstLine="740"/>
        <w:jc w:val="both"/>
        <w:rPr/>
      </w:pPr>
      <w:r>
        <w:rPr/>
        <w:t>Федеральный закон от 21 декабря 1994 г. № 69-ФЗ «О пожарной безопасности»;</w:t>
      </w:r>
    </w:p>
    <w:p>
      <w:pPr>
        <w:pStyle w:val="11"/>
        <w:numPr>
          <w:ilvl w:val="0"/>
          <w:numId w:val="4"/>
        </w:numPr>
        <w:shd w:val="clear" w:color="auto" w:fill="auto"/>
        <w:tabs>
          <w:tab w:val="clear" w:pos="708"/>
          <w:tab w:val="left" w:pos="1126" w:leader="none"/>
        </w:tabs>
        <w:spacing w:lineRule="auto" w:line="307"/>
        <w:ind w:firstLine="740"/>
        <w:jc w:val="both"/>
        <w:rPr/>
      </w:pPr>
      <w:r>
        <w:rPr/>
        <w:t>Федеральный закон от 22 июля 2008 года № 123-ФЗ «Технический регламент о требованиях пожарной безопасности»;</w:t>
      </w:r>
    </w:p>
    <w:p>
      <w:pPr>
        <w:pStyle w:val="11"/>
        <w:numPr>
          <w:ilvl w:val="0"/>
          <w:numId w:val="4"/>
        </w:numPr>
        <w:shd w:val="clear" w:color="auto" w:fill="auto"/>
        <w:tabs>
          <w:tab w:val="clear" w:pos="708"/>
          <w:tab w:val="left" w:pos="1126" w:leader="none"/>
        </w:tabs>
        <w:spacing w:lineRule="auto" w:line="307"/>
        <w:ind w:firstLine="740"/>
        <w:jc w:val="both"/>
        <w:rPr/>
      </w:pPr>
      <w:r>
        <w:rPr/>
        <w:t>Постановление Правительства РФ от 16 сентября 2020 г. № 1479 «О противопожарном режиме»;</w:t>
      </w:r>
    </w:p>
    <w:p>
      <w:pPr>
        <w:pStyle w:val="11"/>
        <w:numPr>
          <w:ilvl w:val="0"/>
          <w:numId w:val="4"/>
        </w:numPr>
        <w:shd w:val="clear" w:color="auto" w:fill="auto"/>
        <w:tabs>
          <w:tab w:val="clear" w:pos="708"/>
          <w:tab w:val="left" w:pos="1126" w:leader="none"/>
        </w:tabs>
        <w:spacing w:lineRule="auto" w:line="307"/>
        <w:ind w:firstLine="740"/>
        <w:jc w:val="both"/>
        <w:rPr/>
      </w:pPr>
      <w:r>
        <w:rPr/>
        <w:t>Приказ МЧС России от 21.02.2013 № 116 "Об утверждении свода правил СП 7.13130 "Отопление, вентиляция и кондиционирование. Требования пожарной безопасности";</w:t>
      </w:r>
    </w:p>
    <w:p>
      <w:pPr>
        <w:pStyle w:val="11"/>
        <w:shd w:val="clear" w:color="auto" w:fill="auto"/>
        <w:tabs>
          <w:tab w:val="clear" w:pos="708"/>
          <w:tab w:val="left" w:pos="1126" w:leader="none"/>
        </w:tabs>
        <w:spacing w:lineRule="auto" w:line="307"/>
        <w:ind w:hanging="0"/>
        <w:jc w:val="both"/>
        <w:rPr/>
      </w:pPr>
      <w:r>
        <w:rPr/>
      </w:r>
    </w:p>
    <w:sectPr>
      <w:headerReference w:type="default" r:id="rId16"/>
      <w:footerReference w:type="default" r:id="rId17"/>
      <w:type w:val="nextPage"/>
      <w:pgSz w:w="11906" w:h="16838"/>
      <w:pgMar w:left="1082" w:right="512" w:header="0" w:top="1455" w:footer="0" w:bottom="145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3872230</wp:posOffset>
              </wp:positionH>
              <wp:positionV relativeFrom="page">
                <wp:posOffset>439420</wp:posOffset>
              </wp:positionV>
              <wp:extent cx="180340" cy="218440"/>
              <wp:effectExtent l="0" t="0" r="0" b="0"/>
              <wp:wrapNone/>
              <wp:docPr id="2" name="Shape 4_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21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3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4_2" stroked="f" style="position:absolute;margin-left:304.9pt;margin-top:34.6pt;width:14.1pt;height:17.1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3"/>
                      <w:shd w:val="clear" w:color="auto" w:fill="auto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z w:val="30"/>
                        <w:szCs w:val="30"/>
                      </w:rPr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3872230</wp:posOffset>
              </wp:positionH>
              <wp:positionV relativeFrom="page">
                <wp:posOffset>439420</wp:posOffset>
              </wp:positionV>
              <wp:extent cx="180340" cy="218440"/>
              <wp:effectExtent l="0" t="0" r="0" b="0"/>
              <wp:wrapNone/>
              <wp:docPr id="6" name="Shape 4_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21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3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4_5" stroked="f" style="position:absolute;margin-left:304.9pt;margin-top:34.6pt;width:14.1pt;height:17.1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3"/>
                      <w:shd w:val="clear" w:color="auto" w:fill="auto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z w:val="30"/>
                        <w:szCs w:val="30"/>
                      </w:rPr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/>
        <w:szCs w:val="26"/>
        <w:iCs w:val="false"/>
        <w:bCs/>
        <w:w w:val="100"/>
        <w:rFonts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/>
        <w:szCs w:val="26"/>
        <w:iCs w:val="false"/>
        <w:bCs/>
        <w:w w:val="100"/>
        <w:rFonts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" w:customStyle="1">
    <w:name w:val="Колонтитул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5" w:customStyle="1">
    <w:name w:val="Оглавление_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3" w:customStyle="1">
    <w:name w:val="Заголовок №3_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6" w:customStyle="1">
    <w:name w:val="Подпись к картинке_"/>
    <w:basedOn w:val="DefaultParagraphFont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11"/>
      <w:szCs w:val="11"/>
      <w:u w:val="none"/>
    </w:rPr>
  </w:style>
  <w:style w:type="character" w:styleId="21" w:customStyle="1">
    <w:name w:val="Основной текст (2)_"/>
    <w:basedOn w:val="DefaultParagraphFont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11"/>
      <w:szCs w:val="11"/>
      <w:u w:val="none"/>
    </w:rPr>
  </w:style>
  <w:style w:type="character" w:styleId="Style17" w:customStyle="1">
    <w:name w:val="Подпись к таблице_"/>
    <w:basedOn w:val="DefaultParagraphFon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8" w:customStyle="1">
    <w:name w:val="Другое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4" w:customStyle="1">
    <w:name w:val="Основной текст (4)_"/>
    <w:basedOn w:val="DefaultParagraphFont"/>
    <w:link w:val="4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EBEBEB"/>
      <w:sz w:val="20"/>
      <w:szCs w:val="20"/>
      <w:u w:val="none"/>
    </w:rPr>
  </w:style>
  <w:style w:type="character" w:styleId="1" w:customStyle="1">
    <w:name w:val="Заголовок №1_"/>
    <w:basedOn w:val="DefaultParagraphFont"/>
    <w:link w:val="1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EBEBEB"/>
      <w:sz w:val="50"/>
      <w:szCs w:val="50"/>
      <w:u w:val="none"/>
    </w:rPr>
  </w:style>
  <w:style w:type="character" w:styleId="31" w:customStyle="1">
    <w:name w:val="Основной текст (3)_"/>
    <w:basedOn w:val="DefaultParagraphFont"/>
    <w:link w:val="3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EBEBEB"/>
      <w:sz w:val="18"/>
      <w:szCs w:val="18"/>
      <w:u w:val="none"/>
    </w:rPr>
  </w:style>
  <w:style w:type="character" w:styleId="5" w:customStyle="1">
    <w:name w:val="Основной текст (5)_"/>
    <w:basedOn w:val="DefaultParagraphFont"/>
    <w:link w:val="50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6" w:customStyle="1">
    <w:name w:val="Основной текст (6)_"/>
    <w:basedOn w:val="DefaultParagraphFont"/>
    <w:link w:val="6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22" w:customStyle="1">
    <w:name w:val="Заголовок №2_"/>
    <w:basedOn w:val="DefaultParagraphFont"/>
    <w:link w:val="22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32"/>
      <w:szCs w:val="32"/>
      <w:u w:val="none"/>
    </w:rPr>
  </w:style>
  <w:style w:type="character" w:styleId="Style19" w:customStyle="1">
    <w:name w:val="Интернет-ссылка"/>
    <w:rPr>
      <w:color w:val="000080"/>
      <w:u w:val="single"/>
    </w:rPr>
  </w:style>
  <w:style w:type="character" w:styleId="Style20" w:customStyle="1">
    <w:name w:val="Ссылка указателя"/>
    <w:qFormat/>
    <w:rPr/>
  </w:style>
  <w:style w:type="character" w:styleId="Style21" w:customStyle="1">
    <w:name w:val="Символ нумерации"/>
    <w:qFormat/>
    <w:rPr/>
  </w:style>
  <w:style w:type="paragraph" w:styleId="Style22" w:customStyle="1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ascii="PT Astra Serif" w:hAnsi="PT Astra Serif" w:cs="Noto Sans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Основной текст1"/>
    <w:basedOn w:val="Normal"/>
    <w:link w:val="1"/>
    <w:qFormat/>
    <w:pPr>
      <w:shd w:val="clear" w:color="auto" w:fill="FFFFFF"/>
      <w:spacing w:lineRule="auto" w:line="259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3" w:customStyle="1">
    <w:name w:val="Колонтитул (2)"/>
    <w:basedOn w:val="Normal"/>
    <w:link w:val="24"/>
    <w:qFormat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Style27" w:customStyle="1">
    <w:name w:val="Оглавление"/>
    <w:basedOn w:val="Normal"/>
    <w:qFormat/>
    <w:pPr>
      <w:shd w:val="clear" w:color="auto" w:fill="FFFFFF"/>
      <w:spacing w:lineRule="auto" w:line="259"/>
      <w:ind w:firstLine="16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32" w:customStyle="1">
    <w:name w:val="Заголовок №3"/>
    <w:basedOn w:val="Normal"/>
    <w:link w:val="30"/>
    <w:qFormat/>
    <w:pPr>
      <w:shd w:val="clear" w:color="auto" w:fill="FFFFFF"/>
      <w:spacing w:lineRule="auto" w:line="259" w:before="0" w:after="330"/>
      <w:jc w:val="center"/>
      <w:outlineLvl w:val="2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Style28" w:customStyle="1">
    <w:name w:val="Подпись к картинке"/>
    <w:basedOn w:val="Normal"/>
    <w:qFormat/>
    <w:pPr>
      <w:shd w:val="clear" w:color="auto" w:fill="FFFFFF"/>
    </w:pPr>
    <w:rPr>
      <w:rFonts w:ascii="Arial" w:hAnsi="Arial" w:eastAsia="Arial" w:cs="Arial"/>
      <w:b/>
      <w:bCs/>
      <w:sz w:val="11"/>
      <w:szCs w:val="11"/>
    </w:rPr>
  </w:style>
  <w:style w:type="paragraph" w:styleId="24" w:customStyle="1">
    <w:name w:val="Основной текст (2)"/>
    <w:basedOn w:val="Normal"/>
    <w:link w:val="21"/>
    <w:qFormat/>
    <w:pPr>
      <w:shd w:val="clear" w:color="auto" w:fill="FFFFFF"/>
      <w:spacing w:lineRule="auto" w:line="348"/>
    </w:pPr>
    <w:rPr>
      <w:rFonts w:ascii="Arial" w:hAnsi="Arial" w:eastAsia="Arial" w:cs="Arial"/>
      <w:b/>
      <w:bCs/>
      <w:sz w:val="11"/>
      <w:szCs w:val="11"/>
    </w:rPr>
  </w:style>
  <w:style w:type="paragraph" w:styleId="Style29" w:customStyle="1">
    <w:name w:val="Подпись к таблице"/>
    <w:basedOn w:val="Normal"/>
    <w:qFormat/>
    <w:pPr>
      <w:shd w:val="clear" w:color="auto" w:fill="FFFFFF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Style30" w:customStyle="1">
    <w:name w:val="Другое"/>
    <w:basedOn w:val="Normal"/>
    <w:qFormat/>
    <w:pPr>
      <w:shd w:val="clear" w:color="auto" w:fill="FFFFFF"/>
      <w:spacing w:lineRule="auto" w:line="259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41" w:customStyle="1">
    <w:name w:val="Основной текст (4)"/>
    <w:basedOn w:val="Normal"/>
    <w:link w:val="4"/>
    <w:qFormat/>
    <w:pPr>
      <w:shd w:val="clear" w:color="auto" w:fill="FFFFFF"/>
    </w:pPr>
    <w:rPr>
      <w:rFonts w:ascii="Times New Roman" w:hAnsi="Times New Roman" w:eastAsia="Times New Roman" w:cs="Times New Roman"/>
      <w:b/>
      <w:bCs/>
      <w:color w:val="EBEBEB"/>
      <w:sz w:val="20"/>
      <w:szCs w:val="20"/>
    </w:rPr>
  </w:style>
  <w:style w:type="paragraph" w:styleId="12" w:customStyle="1">
    <w:name w:val="Заголовок №1"/>
    <w:basedOn w:val="Normal"/>
    <w:qFormat/>
    <w:pPr>
      <w:shd w:val="clear" w:color="auto" w:fill="FFFFFF"/>
      <w:outlineLvl w:val="0"/>
    </w:pPr>
    <w:rPr>
      <w:rFonts w:ascii="Times New Roman" w:hAnsi="Times New Roman" w:eastAsia="Times New Roman" w:cs="Times New Roman"/>
      <w:b/>
      <w:bCs/>
      <w:color w:val="EBEBEB"/>
      <w:sz w:val="50"/>
      <w:szCs w:val="50"/>
    </w:rPr>
  </w:style>
  <w:style w:type="paragraph" w:styleId="33" w:customStyle="1">
    <w:name w:val="Основной текст (3)"/>
    <w:basedOn w:val="Normal"/>
    <w:qFormat/>
    <w:pPr>
      <w:shd w:val="clear" w:color="auto" w:fill="FFFFFF"/>
      <w:spacing w:lineRule="auto" w:line="228"/>
      <w:jc w:val="center"/>
    </w:pPr>
    <w:rPr>
      <w:rFonts w:ascii="Times New Roman" w:hAnsi="Times New Roman" w:eastAsia="Times New Roman" w:cs="Times New Roman"/>
      <w:b/>
      <w:bCs/>
      <w:color w:val="EBEBEB"/>
      <w:sz w:val="18"/>
      <w:szCs w:val="18"/>
    </w:rPr>
  </w:style>
  <w:style w:type="paragraph" w:styleId="51" w:customStyle="1">
    <w:name w:val="Основной текст (5)"/>
    <w:basedOn w:val="Normal"/>
    <w:link w:val="5"/>
    <w:qFormat/>
    <w:pPr>
      <w:shd w:val="clear" w:color="auto" w:fill="FFFFFF"/>
      <w:spacing w:before="0" w:after="160"/>
      <w:ind w:firstLine="360"/>
    </w:pPr>
    <w:rPr>
      <w:rFonts w:ascii="Arial" w:hAnsi="Arial" w:eastAsia="Arial" w:cs="Arial"/>
      <w:b/>
      <w:bCs/>
      <w:sz w:val="20"/>
      <w:szCs w:val="20"/>
    </w:rPr>
  </w:style>
  <w:style w:type="paragraph" w:styleId="61" w:customStyle="1">
    <w:name w:val="Основной текст (6)"/>
    <w:basedOn w:val="Normal"/>
    <w:link w:val="6"/>
    <w:qFormat/>
    <w:pPr>
      <w:shd w:val="clear" w:color="auto" w:fill="FFFFFF"/>
    </w:pPr>
    <w:rPr>
      <w:rFonts w:ascii="Times New Roman" w:hAnsi="Times New Roman" w:eastAsia="Times New Roman" w:cs="Times New Roman"/>
      <w:sz w:val="30"/>
      <w:szCs w:val="30"/>
    </w:rPr>
  </w:style>
  <w:style w:type="paragraph" w:styleId="25" w:customStyle="1">
    <w:name w:val="Заголовок №2"/>
    <w:basedOn w:val="Normal"/>
    <w:link w:val="23"/>
    <w:qFormat/>
    <w:pPr>
      <w:shd w:val="clear" w:color="auto" w:fill="FFFFFF"/>
      <w:ind w:firstLine="560"/>
      <w:outlineLvl w:val="1"/>
    </w:pPr>
    <w:rPr>
      <w:rFonts w:ascii="Arial" w:hAnsi="Arial" w:eastAsia="Arial" w:cs="Arial"/>
      <w:b/>
      <w:bCs/>
      <w:sz w:val="32"/>
      <w:szCs w:val="32"/>
    </w:rPr>
  </w:style>
  <w:style w:type="paragraph" w:styleId="Style31" w:customStyle="1">
    <w:name w:val="Верхний и нижний колонтитулы"/>
    <w:basedOn w:val="Normal"/>
    <w:qFormat/>
    <w:pPr/>
    <w:rPr/>
  </w:style>
  <w:style w:type="paragraph" w:styleId="Style32">
    <w:name w:val="Header"/>
    <w:basedOn w:val="Style31"/>
    <w:pPr/>
    <w:rPr/>
  </w:style>
  <w:style w:type="paragraph" w:styleId="Style33" w:customStyle="1">
    <w:name w:val="Содержимое врезки"/>
    <w:basedOn w:val="Normal"/>
    <w:qFormat/>
    <w:pPr/>
    <w:rPr/>
  </w:style>
  <w:style w:type="paragraph" w:styleId="Style34">
    <w:name w:val="Footer"/>
    <w:basedOn w:val="Style31"/>
    <w:pPr>
      <w:suppressLineNumbers/>
      <w:tabs>
        <w:tab w:val="clear" w:pos="708"/>
        <w:tab w:val="center" w:pos="5158" w:leader="none"/>
        <w:tab w:val="right" w:pos="1031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header" Target="header4.xml"/><Relationship Id="rId9" Type="http://schemas.openxmlformats.org/officeDocument/2006/relationships/footer" Target="footer3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header" Target="header6.xml"/><Relationship Id="rId15" Type="http://schemas.openxmlformats.org/officeDocument/2006/relationships/footer" Target="footer5.xml"/><Relationship Id="rId16" Type="http://schemas.openxmlformats.org/officeDocument/2006/relationships/header" Target="header7.xml"/><Relationship Id="rId17" Type="http://schemas.openxmlformats.org/officeDocument/2006/relationships/footer" Target="footer6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LibreOffice/6.4.7.2$Linux_X86_64 LibreOffice_project/40$Build-2</Application>
  <Pages>11</Pages>
  <Words>2262</Words>
  <Characters>14923</Characters>
  <CharactersWithSpaces>17047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2024-10-15T06:28:00Z</dcterms:created>
  <dc:creator>User</dc:creator>
  <dc:description/>
  <dc:language>ru-RU</dc:language>
  <cp:lastModifiedBy/>
  <dcterms:modified xsi:type="dcterms:W3CDTF">2024-10-24T12:14:01Z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